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80" w:rsidRPr="005B5A60" w:rsidRDefault="000C1380" w:rsidP="000C1380">
      <w:pPr>
        <w:spacing w:before="120" w:after="0" w:line="240" w:lineRule="auto"/>
        <w:jc w:val="both"/>
        <w:rPr>
          <w:rFonts w:ascii="Times New Roman" w:eastAsia="Times New Roman" w:hAnsi="Times New Roman" w:cs="Times New Roman"/>
          <w:sz w:val="24"/>
          <w:szCs w:val="24"/>
          <w:lang w:val="vi"/>
        </w:rPr>
      </w:pPr>
      <w:bookmarkStart w:id="0" w:name="dieu_17_1"/>
      <w:r w:rsidRPr="005B5A60">
        <w:rPr>
          <w:rFonts w:ascii="Times New Roman" w:eastAsia="Times New Roman" w:hAnsi="Times New Roman" w:cs="Times New Roman"/>
          <w:b/>
          <w:bCs/>
          <w:sz w:val="24"/>
          <w:szCs w:val="24"/>
          <w:lang w:val="vi"/>
        </w:rPr>
        <w:t>12. Công nhận và giải quyết chế độ con đẻ của người hoạt động kháng chiến bị nhiễm chất độc hóa học</w:t>
      </w:r>
      <w:bookmarkEnd w:id="0"/>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hoặc người đại diện theo pháp luật lập bản khai theo Mẫu số 09 Phụ lục I Nghị định số 131/2021/NĐ-CP kèm bản sao được chứng thực từ giấy khai sinh, trích lục khai sinh và một trong các giấy tờ quy định tại khoản 1 và khoản 2 Điều 54 Nghị định số 131/2021/NĐ-CP gửi đến Ủy ban nhân dân cấp xã nơi thường trú.</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có trách nhiệm kiểm tra, xác nhận bản khai và lập danh sách kèm giấy tờ theo quy định tại khoản 1 Điều 57 Nghị định số 131/2021/NĐ-CP gửi Phòng Lao động - Thương binh và Xã hội.</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theo quy định tại khoản 2 Điều 57 Nghị định số 131/2021/NĐ-CP gửi Sở Lao động - Thương binh và Xã hội.</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kể từ ngày nhận đủ giấy tờ, có trách nhiệm kiểm tra, cấp giấy giới thiệu những trường hợp đủ điều kiện gửi đến Hội đồng giám định y khoa cấp tỉnh theo Mẫu số 38 Phụ lục I Nghị định số 131/2021/NĐ-CP kèm bản sao giấy tờ ghi nhận bị dị dạng, dị tật.</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5: Hội đồng giám định y khoa trong thời gian 60 ngày kể từ ngày nhận đủ giấy tờ, có trách nhiệm tổ chức khám giám định, ban hành biên bản giám định y khoa theo Mẫu số 78 Phụ lục I Nghị định số 131/2021/NĐ-CP gửi đến Sở Lao động - Thương binh và Xã hội.</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6: Sở Lao động - Thương binh và Xã hội trong thời gian 12 ngày kể từ ngày nhận biên bản giám định y khoa có trách nhiệm xem xét, nếu đủ điều kiện thì ban hành quyết định trợ cấp ưu đãi đối với con đẻ của người hoạt động kháng chiến bị nhiễm chất độc hóa học theo Mẫu số 65 Phụ lục I Nghị định số 131/2021/NĐ-CP; quyết định cấp giấy chứng nhận người hoạt động kháng chiến bị nhiễm chất độc hóa học và trợ cấp ưu đãi theo Mẫu số 64 Phụ lục I Nghị định số 131/2021/NĐ-CP đối với người hoạt động kháng chiến bị nhiễm chất độc hóa học, đồng thời thực hiện việc cấp giấy chứng nhận theo Mẫu số 102 Phụ lục I Nghị định số 131/2021/NĐ-CP.</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 Thành phần, số lượng hồ sơ</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a) Bản khai theo Mẫu số 09 Phụ lục I Nghị định số 131/2021/NĐ-CP. </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 Bản sao được chứng thực từ giấy khai sinh, trích lục khai sinh.</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 Một trong các giấy tờ có ghi nhận thời gian tham gia kháng chiến tại vùng quân đội Mỹ sử dụng chất độc hóa học sau:</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X Y Z.</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bảo hiểm xã hội; Huân chương, Huy chương chiến sĩ giải phóng; hồ sơ khen thưởng thành tích tham gia kháng chiến, hồ sơ người có công được xác lập trước ngày 01 tháng 01 năm 2000.</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pacing w:val="-12"/>
          <w:sz w:val="24"/>
          <w:szCs w:val="24"/>
          <w:lang w:val="vi"/>
        </w:rPr>
      </w:pPr>
      <w:r w:rsidRPr="005B5A60">
        <w:rPr>
          <w:rFonts w:ascii="Times New Roman" w:eastAsia="Times New Roman" w:hAnsi="Times New Roman" w:cs="Times New Roman"/>
          <w:spacing w:val="-12"/>
          <w:sz w:val="24"/>
          <w:szCs w:val="24"/>
          <w:lang w:val="vi"/>
        </w:rPr>
        <w:t>- Giấy tờ do cơ quan có thẩm quyền ban hành, xác nhận trước ngày 01 tháng 01 năm 2000.</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về Bộ Lao động - Thương binh và Xã hội trước ngày 01 tháng 6 năm 2022.</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Trường hợp các giấy tờ trên chỉ thể hiện phiên hiệu, ký hiệu đơn vị thì kèm theo giấy xác nhận thông tin giải mã phiên hiệu, ký hiệu, thời gian, địa bàn hoạt động của đơn vị theo Mẫu số 37 Phụ lục I Nghị định số 131/2021/NĐ-CP.</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d) Một trong các giấy tờ ghi nhận mắc bệnh hoặc dị dạng, dị tật như sau:</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tóm tắt hồ sơ bệnh án của bệnh viện tuyến huyện hoặc trung tâm y tế huyện hoặc tương đương trở lên (bao gồm cả bệnh viện quân đội, công an) theo mẫu quy định của Bộ Y tế.</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xác nhận dị dạng, dị tật bẩm sinh của các cơ sở y tế cấp xã trở lên đối với con đẻ chưa khám bệnh, chữa bệnh về các dị dạng, dị tật.</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d. Thời hạn giải quyết: </w:t>
      </w:r>
      <w:r w:rsidRPr="005B5A60">
        <w:rPr>
          <w:rFonts w:ascii="Times New Roman" w:eastAsia="Times New Roman" w:hAnsi="Times New Roman" w:cs="Times New Roman"/>
          <w:sz w:val="24"/>
          <w:szCs w:val="24"/>
          <w:lang w:val="vi"/>
        </w:rPr>
        <w:t>96 ngày kể từ ngày nhận đủ hồ sơ theo quy định (Thời gian cụ thể được quy định tại từng bước của quy trình thực hiện).</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Cá nhân.</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f. Cơ quan giải quyết thủ tục hành chính: </w:t>
      </w:r>
      <w:r w:rsidRPr="005B5A60">
        <w:rPr>
          <w:rFonts w:ascii="Times New Roman" w:eastAsia="Times New Roman" w:hAnsi="Times New Roman" w:cs="Times New Roman"/>
          <w:sz w:val="24"/>
          <w:szCs w:val="24"/>
          <w:lang w:val="vi"/>
        </w:rPr>
        <w:t>Sở Lao động - Thương binh và Xã hội; Hội đồng giám định y khoa cấp tỉnh; Phòng Lao động - thương binh và xã hội; Ủy ban nhân dân cấp xã.</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g. Kết quả thực hiện thủ tục hành chính: </w:t>
      </w:r>
      <w:r w:rsidRPr="005B5A60">
        <w:rPr>
          <w:rFonts w:ascii="Times New Roman" w:eastAsia="Times New Roman" w:hAnsi="Times New Roman" w:cs="Times New Roman"/>
          <w:sz w:val="24"/>
          <w:szCs w:val="24"/>
          <w:lang w:val="vi"/>
        </w:rPr>
        <w:t>Quyết định trợ cấp ưu đãi đối với con đẻ của người hoạt động kháng chiến bị nhiễm chất độc hóa học.</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h. Lệ phí: </w:t>
      </w:r>
      <w:r w:rsidRPr="005B5A60">
        <w:rPr>
          <w:rFonts w:ascii="Times New Roman" w:eastAsia="Times New Roman" w:hAnsi="Times New Roman" w:cs="Times New Roman"/>
          <w:sz w:val="24"/>
          <w:szCs w:val="24"/>
          <w:lang w:val="vi"/>
        </w:rPr>
        <w:t>Không.</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i. Tên mẫu đơn, mẫu tờ khai: </w:t>
      </w:r>
      <w:r w:rsidRPr="005B5A60">
        <w:rPr>
          <w:rFonts w:ascii="Times New Roman" w:eastAsia="Times New Roman" w:hAnsi="Times New Roman" w:cs="Times New Roman"/>
          <w:sz w:val="24"/>
          <w:szCs w:val="24"/>
          <w:lang w:val="vi"/>
        </w:rPr>
        <w:t>Bản khai để giải quyết chế độ con đẻ của người hoạt động kháng chiến bị nhiễm chất độc hóa học (Mẫu số 09 Phụ lục I Nghị định 131/2021/NĐ-CP).</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k. Yêu cầu, điều kiện thực hiện thủ tục hành chính: </w:t>
      </w:r>
      <w:r w:rsidRPr="005B5A60">
        <w:rPr>
          <w:rFonts w:ascii="Times New Roman" w:eastAsia="Times New Roman" w:hAnsi="Times New Roman" w:cs="Times New Roman"/>
          <w:sz w:val="24"/>
          <w:szCs w:val="24"/>
          <w:lang w:val="vi"/>
        </w:rPr>
        <w:t>Không.</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m. Căn cứ pháp lý ban hành</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 2020.</w:t>
      </w:r>
    </w:p>
    <w:p w:rsidR="000C1380" w:rsidRPr="005B5A60" w:rsidRDefault="000C1380" w:rsidP="000C1380">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 mạng.</w:t>
      </w:r>
    </w:p>
    <w:p w:rsidR="000C1380" w:rsidRPr="005B5A60" w:rsidRDefault="000C1380" w:rsidP="000C1380">
      <w:pPr>
        <w:keepNext/>
        <w:spacing w:before="240" w:after="60" w:line="259" w:lineRule="auto"/>
        <w:jc w:val="right"/>
        <w:outlineLvl w:val="3"/>
        <w:rPr>
          <w:rFonts w:ascii="Times New Roman" w:eastAsia="Times New Roman" w:hAnsi="Times New Roman" w:cs="Times New Roman"/>
          <w:b/>
          <w:bCs/>
          <w:i/>
          <w:iCs/>
          <w:sz w:val="24"/>
          <w:szCs w:val="24"/>
          <w:lang w:val="vi"/>
        </w:rPr>
      </w:pPr>
      <w:r w:rsidRPr="005B5A60">
        <w:rPr>
          <w:rFonts w:ascii="Times New Roman" w:eastAsia="Times New Roman" w:hAnsi="Times New Roman" w:cs="Times New Roman"/>
          <w:b/>
          <w:bCs/>
          <w:sz w:val="24"/>
          <w:szCs w:val="24"/>
          <w:lang w:val="vi"/>
        </w:rPr>
        <w:br w:type="page"/>
      </w:r>
      <w:r w:rsidRPr="005B5A60">
        <w:rPr>
          <w:rFonts w:ascii="Times New Roman" w:eastAsia="Times New Roman" w:hAnsi="Times New Roman" w:cs="Times New Roman"/>
          <w:b/>
          <w:bCs/>
          <w:i/>
          <w:iCs/>
          <w:sz w:val="24"/>
          <w:szCs w:val="24"/>
          <w:lang w:val="vi"/>
        </w:rPr>
        <w:lastRenderedPageBreak/>
        <w:t>Mẫu  số 09</w:t>
      </w:r>
    </w:p>
    <w:p w:rsidR="000C1380" w:rsidRPr="005B5A60" w:rsidRDefault="000C1380" w:rsidP="000C1380">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0C1380" w:rsidRPr="005B5A60" w:rsidRDefault="000C1380" w:rsidP="000C1380">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0C1380" w:rsidRPr="005B5A60" w:rsidRDefault="000C1380" w:rsidP="000C1380">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____________________________________</w:t>
      </w:r>
    </w:p>
    <w:p w:rsidR="000C1380" w:rsidRPr="005B5A60" w:rsidRDefault="000C1380" w:rsidP="000C1380">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0C1380" w:rsidRPr="005B5A60" w:rsidRDefault="000C1380" w:rsidP="000C1380">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BẢN KHAI</w:t>
      </w:r>
    </w:p>
    <w:p w:rsidR="000C1380" w:rsidRPr="005B5A60" w:rsidRDefault="000C1380" w:rsidP="000C1380">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Để giải quyết chế độ người hoạt động kháng chiến</w:t>
      </w:r>
    </w:p>
    <w:p w:rsidR="000C1380" w:rsidRPr="005B5A60" w:rsidRDefault="000C1380" w:rsidP="000C1380">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bị nhiễm chất độc hóa học/con đẻ của người hoạt động</w:t>
      </w:r>
    </w:p>
    <w:p w:rsidR="000C1380" w:rsidRPr="005B5A60" w:rsidRDefault="000C1380" w:rsidP="000C1380">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kháng chiến bị nhiễm chất độc hóa học</w:t>
      </w:r>
    </w:p>
    <w:p w:rsidR="000C1380" w:rsidRPr="005B5A60" w:rsidRDefault="000C1380" w:rsidP="000C1380">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0C1380" w:rsidRPr="005B5A60" w:rsidRDefault="000C1380" w:rsidP="000C1380">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0C1380" w:rsidRPr="005B5A60" w:rsidRDefault="000C1380" w:rsidP="000C1380">
      <w:pPr>
        <w:widowControl w:val="0"/>
        <w:tabs>
          <w:tab w:val="right" w:leader="dot" w:pos="8640"/>
        </w:tabs>
        <w:autoSpaceDE w:val="0"/>
        <w:autoSpaceDN w:val="0"/>
        <w:spacing w:after="0" w:line="240" w:lineRule="auto"/>
        <w:ind w:firstLine="567"/>
        <w:rPr>
          <w:rFonts w:ascii="Times New Roman" w:eastAsia="Times New Roman" w:hAnsi="Times New Roman" w:cs="Times New Roman"/>
          <w:b/>
          <w:spacing w:val="-4"/>
          <w:sz w:val="24"/>
          <w:szCs w:val="24"/>
          <w:lang w:val="vi"/>
        </w:rPr>
      </w:pPr>
      <w:r w:rsidRPr="005B5A60">
        <w:rPr>
          <w:rFonts w:ascii="Times New Roman" w:eastAsia="Times New Roman" w:hAnsi="Times New Roman" w:cs="Times New Roman"/>
          <w:b/>
          <w:spacing w:val="-4"/>
          <w:sz w:val="24"/>
          <w:szCs w:val="24"/>
          <w:lang w:val="vi"/>
        </w:rPr>
        <w:t>1. Phần khai về người hoạt động kháng chiến bị nhiễm chất độc hóa học</w:t>
      </w:r>
    </w:p>
    <w:p w:rsidR="000C1380" w:rsidRPr="005B5A60" w:rsidRDefault="000C1380" w:rsidP="000C1380">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0C1380" w:rsidRPr="005B5A60" w:rsidRDefault="000C1380" w:rsidP="000C1380">
      <w:pPr>
        <w:widowControl w:val="0"/>
        <w:shd w:val="clear" w:color="auto" w:fill="FFFFFF"/>
        <w:tabs>
          <w:tab w:val="left" w:leader="dot" w:pos="2880"/>
          <w:tab w:val="left" w:leader="dot" w:pos="5328"/>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0C1380" w:rsidRPr="005B5A60" w:rsidRDefault="000C1380" w:rsidP="000C1380">
      <w:pPr>
        <w:widowControl w:val="0"/>
        <w:shd w:val="clear" w:color="auto" w:fill="FFFFFF"/>
        <w:tabs>
          <w:tab w:val="left" w:leader="dot" w:pos="5760"/>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0C1380" w:rsidRPr="005B5A60" w:rsidRDefault="000C1380" w:rsidP="000C1380">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0C1380" w:rsidRPr="005B5A60" w:rsidRDefault="000C1380" w:rsidP="000C1380">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0C1380" w:rsidRPr="005B5A60" w:rsidRDefault="000C1380" w:rsidP="000C1380">
      <w:pPr>
        <w:widowControl w:val="0"/>
        <w:tabs>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0C1380" w:rsidRPr="005B5A60" w:rsidRDefault="000C1380" w:rsidP="000C1380">
      <w:pPr>
        <w:widowControl w:val="0"/>
        <w:tabs>
          <w:tab w:val="right" w:leader="dot" w:pos="9639"/>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Có quá trình hoạt động kháng chiến ở vùng quân đội Mỹ sử dụng chất độc hóa học như sau:</w:t>
      </w:r>
    </w:p>
    <w:p w:rsidR="000C1380" w:rsidRPr="005B5A60" w:rsidRDefault="000C1380" w:rsidP="000C1380">
      <w:pPr>
        <w:widowControl w:val="0"/>
        <w:tabs>
          <w:tab w:val="right" w:leader="dot" w:pos="9639"/>
        </w:tabs>
        <w:autoSpaceDE w:val="0"/>
        <w:autoSpaceDN w:val="0"/>
        <w:spacing w:after="0" w:line="240" w:lineRule="auto"/>
        <w:ind w:firstLine="567"/>
        <w:rPr>
          <w:rFonts w:ascii="Times New Roman" w:eastAsia="Times New Roman" w:hAnsi="Times New Roman" w:cs="Times New Roman"/>
          <w:sz w:val="24"/>
          <w:szCs w:val="24"/>
          <w:lang w:val="v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7"/>
        <w:gridCol w:w="3914"/>
        <w:gridCol w:w="2245"/>
        <w:gridCol w:w="2550"/>
      </w:tblGrid>
      <w:tr w:rsidR="000C1380" w:rsidRPr="005B5A60" w:rsidTr="006F1387">
        <w:tc>
          <w:tcPr>
            <w:tcW w:w="59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4087"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Thời gian</w:t>
            </w:r>
          </w:p>
        </w:tc>
        <w:tc>
          <w:tcPr>
            <w:tcW w:w="2307"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Cơ quan/Đơn vị</w:t>
            </w:r>
          </w:p>
        </w:tc>
        <w:tc>
          <w:tcPr>
            <w:tcW w:w="265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Địa bàn hoạt động</w:t>
            </w:r>
          </w:p>
        </w:tc>
      </w:tr>
      <w:tr w:rsidR="000C1380" w:rsidRPr="005B5A60" w:rsidTr="006F1387">
        <w:tc>
          <w:tcPr>
            <w:tcW w:w="59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4087" w:type="dxa"/>
            <w:shd w:val="clear" w:color="auto" w:fill="auto"/>
          </w:tcPr>
          <w:p w:rsidR="000C1380" w:rsidRPr="005B5A60" w:rsidRDefault="000C1380"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Từ tháng ... năm ... </w:t>
            </w:r>
          </w:p>
          <w:p w:rsidR="000C1380" w:rsidRPr="005B5A60" w:rsidRDefault="000C1380"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đến tháng ... năm ...</w:t>
            </w:r>
          </w:p>
        </w:tc>
        <w:tc>
          <w:tcPr>
            <w:tcW w:w="2307" w:type="dxa"/>
            <w:shd w:val="clear" w:color="auto" w:fill="auto"/>
          </w:tcPr>
          <w:p w:rsidR="000C1380" w:rsidRPr="005B5A60" w:rsidRDefault="000C1380"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c>
          <w:tcPr>
            <w:tcW w:w="2654" w:type="dxa"/>
            <w:shd w:val="clear" w:color="auto" w:fill="auto"/>
          </w:tcPr>
          <w:p w:rsidR="000C1380" w:rsidRPr="005B5A60" w:rsidRDefault="000C1380"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r>
      <w:tr w:rsidR="000C1380" w:rsidRPr="005B5A60" w:rsidTr="006F1387">
        <w:tc>
          <w:tcPr>
            <w:tcW w:w="59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4087" w:type="dxa"/>
            <w:shd w:val="clear" w:color="auto" w:fill="auto"/>
          </w:tcPr>
          <w:p w:rsidR="000C1380" w:rsidRPr="005B5A60" w:rsidRDefault="000C1380"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2307" w:type="dxa"/>
            <w:shd w:val="clear" w:color="auto" w:fill="auto"/>
          </w:tcPr>
          <w:p w:rsidR="000C1380" w:rsidRPr="005B5A60" w:rsidRDefault="000C1380"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c>
          <w:tcPr>
            <w:tcW w:w="2654" w:type="dxa"/>
            <w:shd w:val="clear" w:color="auto" w:fill="auto"/>
          </w:tcPr>
          <w:p w:rsidR="000C1380" w:rsidRPr="005B5A60" w:rsidRDefault="000C1380"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r>
    </w:tbl>
    <w:p w:rsidR="000C1380" w:rsidRPr="005B5A60" w:rsidRDefault="000C1380" w:rsidP="000C1380">
      <w:pPr>
        <w:widowControl w:val="0"/>
        <w:tabs>
          <w:tab w:val="right" w:leader="dot" w:pos="864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Tình trạng bệnh tật, sức khỏe hiện nay</w:t>
      </w:r>
      <w:r w:rsidRPr="005B5A60">
        <w:rPr>
          <w:rFonts w:ascii="Times New Roman" w:eastAsia="Times New Roman" w:hAnsi="Times New Roman" w:cs="Times New Roman"/>
          <w:sz w:val="24"/>
          <w:szCs w:val="24"/>
          <w:vertAlign w:val="superscript"/>
          <w:lang w:val="vi"/>
        </w:rPr>
        <w:footnoteReference w:id="1"/>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0C1380" w:rsidRPr="005B5A60" w:rsidRDefault="000C1380" w:rsidP="000C1380">
      <w:pPr>
        <w:widowControl w:val="0"/>
        <w:tabs>
          <w:tab w:val="right" w:leader="dot" w:pos="8640"/>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Phần khai về con đẻ (trường hợp người hoạt động kháng chiến sinh con dị dạng, dị tật)</w:t>
      </w:r>
    </w:p>
    <w:p w:rsidR="000C1380" w:rsidRPr="005B5A60" w:rsidRDefault="000C1380" w:rsidP="000C1380">
      <w:pPr>
        <w:widowControl w:val="0"/>
        <w:tabs>
          <w:tab w:val="right" w:leader="dot" w:pos="8640"/>
        </w:tabs>
        <w:autoSpaceDE w:val="0"/>
        <w:autoSpaceDN w:val="0"/>
        <w:spacing w:after="0" w:line="240" w:lineRule="auto"/>
        <w:ind w:firstLine="567"/>
        <w:rPr>
          <w:rFonts w:ascii="Times New Roman" w:eastAsia="Times New Roman" w:hAnsi="Times New Roman" w:cs="Times New Roman"/>
          <w:b/>
          <w:sz w:val="24"/>
          <w:szCs w:val="24"/>
          <w:lang w:val="vi"/>
        </w:rPr>
      </w:pP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702"/>
        <w:gridCol w:w="1404"/>
        <w:gridCol w:w="1115"/>
        <w:gridCol w:w="1919"/>
        <w:gridCol w:w="918"/>
        <w:gridCol w:w="2625"/>
        <w:gridCol w:w="111"/>
      </w:tblGrid>
      <w:tr w:rsidR="000C1380" w:rsidRPr="005B5A60" w:rsidTr="006F1387">
        <w:trPr>
          <w:gridBefore w:val="1"/>
          <w:wBefore w:w="105" w:type="dxa"/>
        </w:trPr>
        <w:tc>
          <w:tcPr>
            <w:tcW w:w="702"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140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tên</w:t>
            </w:r>
          </w:p>
        </w:tc>
        <w:tc>
          <w:tcPr>
            <w:tcW w:w="1115"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Năm sinh</w:t>
            </w:r>
          </w:p>
        </w:tc>
        <w:tc>
          <w:tcPr>
            <w:tcW w:w="2837" w:type="dxa"/>
            <w:gridSpan w:val="2"/>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Số CCCD/CMND/GKS, ngày cấp, nơi cấp </w:t>
            </w:r>
          </w:p>
        </w:tc>
        <w:tc>
          <w:tcPr>
            <w:tcW w:w="2736" w:type="dxa"/>
            <w:gridSpan w:val="2"/>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Tình trạng dị dạng, </w:t>
            </w:r>
          </w:p>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dị tật bẩm sinh</w:t>
            </w:r>
          </w:p>
        </w:tc>
      </w:tr>
      <w:tr w:rsidR="000C1380" w:rsidRPr="005B5A60" w:rsidTr="006F1387">
        <w:trPr>
          <w:gridBefore w:val="1"/>
          <w:wBefore w:w="105" w:type="dxa"/>
        </w:trPr>
        <w:tc>
          <w:tcPr>
            <w:tcW w:w="702"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140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115"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837" w:type="dxa"/>
            <w:gridSpan w:val="2"/>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736" w:type="dxa"/>
            <w:gridSpan w:val="2"/>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0C1380" w:rsidRPr="005B5A60" w:rsidTr="006F1387">
        <w:trPr>
          <w:gridBefore w:val="1"/>
          <w:wBefore w:w="105" w:type="dxa"/>
        </w:trPr>
        <w:tc>
          <w:tcPr>
            <w:tcW w:w="702"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140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115"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837" w:type="dxa"/>
            <w:gridSpan w:val="2"/>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736" w:type="dxa"/>
            <w:gridSpan w:val="2"/>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0C1380" w:rsidRPr="005B5A60" w:rsidTr="006F1387">
        <w:trPr>
          <w:gridBefore w:val="1"/>
          <w:wBefore w:w="105" w:type="dxa"/>
        </w:trPr>
        <w:tc>
          <w:tcPr>
            <w:tcW w:w="702"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1404"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115" w:type="dxa"/>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837" w:type="dxa"/>
            <w:gridSpan w:val="2"/>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736" w:type="dxa"/>
            <w:gridSpan w:val="2"/>
            <w:shd w:val="clear" w:color="auto" w:fill="auto"/>
            <w:vAlign w:val="center"/>
          </w:tcPr>
          <w:p w:rsidR="000C1380" w:rsidRPr="005B5A60" w:rsidRDefault="000C1380"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0C1380" w:rsidRPr="005B5A60" w:rsidTr="006F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11" w:type="dxa"/>
        </w:trPr>
        <w:tc>
          <w:tcPr>
            <w:tcW w:w="5245" w:type="dxa"/>
            <w:gridSpan w:val="5"/>
          </w:tcPr>
          <w:p w:rsidR="000C1380" w:rsidRPr="005B5A60" w:rsidRDefault="000C1380"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0C1380" w:rsidRPr="005B5A60" w:rsidRDefault="000C1380"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0C1380" w:rsidRPr="005B5A60" w:rsidRDefault="000C1380"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Ông (bà)…………………..……………….....</w:t>
            </w:r>
          </w:p>
          <w:p w:rsidR="000C1380" w:rsidRPr="005B5A60" w:rsidRDefault="000C1380"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hiện thường trú tại.……………………………</w:t>
            </w:r>
          </w:p>
          <w:p w:rsidR="000C1380" w:rsidRPr="005B5A60" w:rsidRDefault="000C1380"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và có chữ ký trên bản khai là đúng.</w:t>
            </w:r>
          </w:p>
          <w:p w:rsidR="000C1380" w:rsidRPr="005B5A60" w:rsidRDefault="000C1380"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543" w:type="dxa"/>
            <w:gridSpan w:val="2"/>
          </w:tcPr>
          <w:p w:rsidR="000C1380" w:rsidRPr="005B5A60" w:rsidRDefault="000C1380" w:rsidP="006F1387">
            <w:pPr>
              <w:widowControl w:val="0"/>
              <w:tabs>
                <w:tab w:val="right" w:leader="dot" w:pos="8640"/>
                <w:tab w:val="right" w:leader="dot" w:pos="9639"/>
              </w:tabs>
              <w:autoSpaceDE w:val="0"/>
              <w:autoSpaceDN w:val="0"/>
              <w:spacing w:after="0" w:line="240" w:lineRule="auto"/>
              <w:ind w:firstLine="33"/>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0C1380" w:rsidRPr="005B5A60" w:rsidRDefault="000C1380" w:rsidP="000C1380">
      <w:pPr>
        <w:widowControl w:val="0"/>
        <w:autoSpaceDE w:val="0"/>
        <w:autoSpaceDN w:val="0"/>
        <w:spacing w:after="0" w:line="268" w:lineRule="auto"/>
        <w:jc w:val="both"/>
        <w:rPr>
          <w:rFonts w:ascii="Times New Roman" w:eastAsia="Times New Roman" w:hAnsi="Times New Roman" w:cs="Times New Roman"/>
          <w:sz w:val="24"/>
          <w:szCs w:val="24"/>
          <w:lang w:val="vi"/>
        </w:rPr>
        <w:sectPr w:rsidR="000C1380" w:rsidRPr="005B5A60">
          <w:headerReference w:type="default" r:id="rId7"/>
          <w:footerReference w:type="default" r:id="rId8"/>
          <w:pgSz w:w="11910" w:h="16840"/>
          <w:pgMar w:top="1160" w:right="1020" w:bottom="280" w:left="1600" w:header="722" w:footer="0" w:gutter="0"/>
          <w:cols w:space="720"/>
        </w:sectPr>
      </w:pPr>
    </w:p>
    <w:p w:rsidR="00B35987" w:rsidRDefault="00B35987">
      <w:bookmarkStart w:id="1" w:name="_GoBack"/>
      <w:bookmarkEnd w:id="1"/>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A1" w:rsidRDefault="00D160A1" w:rsidP="000C1380">
      <w:pPr>
        <w:spacing w:after="0" w:line="240" w:lineRule="auto"/>
      </w:pPr>
      <w:r>
        <w:separator/>
      </w:r>
    </w:p>
  </w:endnote>
  <w:endnote w:type="continuationSeparator" w:id="0">
    <w:p w:rsidR="00D160A1" w:rsidRDefault="00D160A1" w:rsidP="000C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3930"/>
      <w:docPartObj>
        <w:docPartGallery w:val="Page Numbers (Bottom of Page)"/>
        <w:docPartUnique/>
      </w:docPartObj>
    </w:sdtPr>
    <w:sdtEndPr>
      <w:rPr>
        <w:noProof/>
      </w:rPr>
    </w:sdtEndPr>
    <w:sdtContent>
      <w:p w:rsidR="000C1380" w:rsidRDefault="000C138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C1380" w:rsidRDefault="000C1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A1" w:rsidRDefault="00D160A1" w:rsidP="000C1380">
      <w:pPr>
        <w:spacing w:after="0" w:line="240" w:lineRule="auto"/>
      </w:pPr>
      <w:r>
        <w:separator/>
      </w:r>
    </w:p>
  </w:footnote>
  <w:footnote w:type="continuationSeparator" w:id="0">
    <w:p w:rsidR="00D160A1" w:rsidRDefault="00D160A1" w:rsidP="000C1380">
      <w:pPr>
        <w:spacing w:after="0" w:line="240" w:lineRule="auto"/>
      </w:pPr>
      <w:r>
        <w:continuationSeparator/>
      </w:r>
    </w:p>
  </w:footnote>
  <w:footnote w:id="1">
    <w:p w:rsidR="000C1380" w:rsidRPr="00D77A0D" w:rsidRDefault="000C1380" w:rsidP="000C1380">
      <w:pPr>
        <w:pStyle w:val="FootnoteText"/>
        <w:jc w:val="both"/>
        <w:rPr>
          <w:spacing w:val="-4"/>
        </w:rPr>
      </w:pPr>
      <w:r w:rsidRPr="00CD2678">
        <w:rPr>
          <w:b/>
          <w:i/>
        </w:rPr>
        <w:t>Ghi chú:</w:t>
      </w:r>
      <w:r>
        <w:rPr>
          <w:spacing w:val="-4"/>
        </w:rPr>
        <w:t xml:space="preserve"> </w:t>
      </w:r>
      <w:r w:rsidRPr="00D77A0D">
        <w:rPr>
          <w:rStyle w:val="FootnoteReference"/>
          <w:spacing w:val="-4"/>
        </w:rPr>
        <w:footnoteRef/>
      </w:r>
      <w:r w:rsidRPr="00D77A0D">
        <w:rPr>
          <w:spacing w:val="-4"/>
        </w:rPr>
        <w:t xml:space="preserve"> Ghi rõ bệnh, dị dạng, dị tật.</w:t>
      </w:r>
      <w:r>
        <w:rPr>
          <w:spacing w:val="-4"/>
        </w:rPr>
        <w:t xml:space="preserve"> </w:t>
      </w:r>
      <w:r w:rsidRPr="00D77A0D">
        <w:rPr>
          <w:spacing w:val="-4"/>
        </w:rPr>
        <w:t>Trường hợp vô sinh thì ghi rõ “có vợ hoặc có chồng nhưng không có con đẻ”.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80" w:rsidRDefault="000C138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380" w:rsidRDefault="000C1380">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0C1380" w:rsidRDefault="000C1380">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80"/>
    <w:rsid w:val="000C1380"/>
    <w:rsid w:val="00B35987"/>
    <w:rsid w:val="00D1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8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13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1380"/>
    <w:rPr>
      <w:rFonts w:eastAsia="Times New Roman" w:cs="Times New Roman"/>
      <w:sz w:val="20"/>
      <w:szCs w:val="20"/>
    </w:rPr>
  </w:style>
  <w:style w:type="character" w:styleId="FootnoteReference">
    <w:name w:val="footnote reference"/>
    <w:basedOn w:val="DefaultParagraphFont"/>
    <w:uiPriority w:val="99"/>
    <w:rsid w:val="000C1380"/>
    <w:rPr>
      <w:rFonts w:cs="Times New Roman"/>
      <w:vertAlign w:val="superscript"/>
    </w:rPr>
  </w:style>
  <w:style w:type="paragraph" w:styleId="BodyText">
    <w:name w:val="Body Text"/>
    <w:basedOn w:val="Normal"/>
    <w:link w:val="BodyTextChar"/>
    <w:uiPriority w:val="1"/>
    <w:unhideWhenUsed/>
    <w:qFormat/>
    <w:rsid w:val="000C1380"/>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0C1380"/>
    <w:rPr>
      <w:rFonts w:eastAsia="Calibri" w:cs="Times New Roman"/>
    </w:rPr>
  </w:style>
  <w:style w:type="paragraph" w:styleId="Footer">
    <w:name w:val="footer"/>
    <w:basedOn w:val="Normal"/>
    <w:link w:val="FooterChar"/>
    <w:uiPriority w:val="99"/>
    <w:unhideWhenUsed/>
    <w:rsid w:val="000C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8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8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13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1380"/>
    <w:rPr>
      <w:rFonts w:eastAsia="Times New Roman" w:cs="Times New Roman"/>
      <w:sz w:val="20"/>
      <w:szCs w:val="20"/>
    </w:rPr>
  </w:style>
  <w:style w:type="character" w:styleId="FootnoteReference">
    <w:name w:val="footnote reference"/>
    <w:basedOn w:val="DefaultParagraphFont"/>
    <w:uiPriority w:val="99"/>
    <w:rsid w:val="000C1380"/>
    <w:rPr>
      <w:rFonts w:cs="Times New Roman"/>
      <w:vertAlign w:val="superscript"/>
    </w:rPr>
  </w:style>
  <w:style w:type="paragraph" w:styleId="BodyText">
    <w:name w:val="Body Text"/>
    <w:basedOn w:val="Normal"/>
    <w:link w:val="BodyTextChar"/>
    <w:uiPriority w:val="1"/>
    <w:unhideWhenUsed/>
    <w:qFormat/>
    <w:rsid w:val="000C1380"/>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0C1380"/>
    <w:rPr>
      <w:rFonts w:eastAsia="Calibri" w:cs="Times New Roman"/>
    </w:rPr>
  </w:style>
  <w:style w:type="paragraph" w:styleId="Footer">
    <w:name w:val="footer"/>
    <w:basedOn w:val="Normal"/>
    <w:link w:val="FooterChar"/>
    <w:uiPriority w:val="99"/>
    <w:unhideWhenUsed/>
    <w:rsid w:val="000C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8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5394</Characters>
  <Application>Microsoft Office Word</Application>
  <DocSecurity>0</DocSecurity>
  <Lines>44</Lines>
  <Paragraphs>12</Paragraphs>
  <ScaleCrop>false</ScaleCrop>
  <Company>home</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2022-08-09T01:57:00Z</dcterms:created>
  <dcterms:modified xsi:type="dcterms:W3CDTF">2022-08-09T01:58:00Z</dcterms:modified>
</cp:coreProperties>
</file>