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A0" w:rsidRPr="006B5EB7" w:rsidRDefault="00DE60A0" w:rsidP="00DE60A0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GoBack"/>
      <w:r w:rsidRPr="006B5EB7">
        <w:rPr>
          <w:rFonts w:ascii="Times New Roman" w:hAnsi="Times New Roman" w:cs="Times New Roman"/>
          <w:b/>
          <w:color w:val="000000" w:themeColor="text1"/>
          <w:szCs w:val="28"/>
          <w:lang w:val="en-US"/>
        </w:rPr>
        <w:t>4</w:t>
      </w:r>
      <w:r w:rsidRPr="006B5EB7">
        <w:rPr>
          <w:rFonts w:ascii="Times New Roman" w:hAnsi="Times New Roman" w:cs="Times New Roman"/>
          <w:b/>
          <w:color w:val="000000" w:themeColor="text1"/>
          <w:szCs w:val="28"/>
        </w:rPr>
        <w:t xml:space="preserve">. </w:t>
      </w:r>
      <w:r w:rsidRPr="006B5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Tặng danh hiệu “</w:t>
      </w:r>
      <w:r w:rsidRPr="006B5EB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6B5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ao động tiên tiến’’</w:t>
      </w:r>
    </w:p>
    <w:bookmarkEnd w:id="0"/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4.1. Cách thức thực hiện: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>Trực tiếp tại Bộ phận tiếp nhận và trả kết quả UBND huyện/Thành phố hoặc qua đường bưu điện.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4.2. Thành phần, số lượng hồ sơ :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  <w:t>a)Thành phần hồ sơ:</w:t>
      </w:r>
    </w:p>
    <w:p w:rsidR="00DE60A0" w:rsidRPr="004B1733" w:rsidRDefault="00DE60A0" w:rsidP="00DE60A0">
      <w:pPr>
        <w:pStyle w:val="Bodytext20"/>
        <w:shd w:val="clear" w:color="auto" w:fill="auto"/>
        <w:spacing w:line="257" w:lineRule="auto"/>
        <w:jc w:val="both"/>
        <w:rPr>
          <w:color w:val="000000" w:themeColor="text1"/>
        </w:rPr>
      </w:pPr>
      <w:r w:rsidRPr="004B1733">
        <w:rPr>
          <w:color w:val="000000" w:themeColor="text1"/>
        </w:rPr>
        <w:t>+ Văn bản đề nghị kèm theo danh sách cá nhân được đề nghị tặng danh hiệu Lao động tiên tiến, Chiến sỹ tiên tiến của cấp trình khen;</w:t>
      </w:r>
    </w:p>
    <w:p w:rsidR="00DE60A0" w:rsidRPr="004B1733" w:rsidRDefault="00DE60A0" w:rsidP="00DE60A0">
      <w:pPr>
        <w:pStyle w:val="Bodytext20"/>
        <w:shd w:val="clear" w:color="auto" w:fill="auto"/>
        <w:spacing w:line="264" w:lineRule="auto"/>
        <w:jc w:val="both"/>
        <w:rPr>
          <w:color w:val="000000" w:themeColor="text1"/>
        </w:rPr>
      </w:pPr>
      <w:r w:rsidRPr="004B1733">
        <w:rPr>
          <w:color w:val="000000" w:themeColor="text1"/>
        </w:rPr>
        <w:t>+ Biên bản họp xét thi đua của Hội đồng thi đua khen thưởng cấp trình khen thưởng;</w:t>
      </w:r>
    </w:p>
    <w:p w:rsidR="00DE60A0" w:rsidRPr="004B1733" w:rsidRDefault="00DE60A0" w:rsidP="00DE60A0">
      <w:pPr>
        <w:spacing w:before="60" w:after="60" w:line="360" w:lineRule="exact"/>
        <w:jc w:val="both"/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color w:val="000000" w:themeColor="text1"/>
        </w:rPr>
        <w:t>+ Báo cáo thành tích của cá nhân được đề nghị tặng danh hiệu Lao động tiên tiến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  <w:t>b) Số lượng hồ sơ</w:t>
      </w: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: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 01 bộ.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pacing w:val="-8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pacing w:val="-8"/>
          <w:szCs w:val="28"/>
          <w:lang w:val="pt-BR"/>
        </w:rPr>
        <w:t>4.3. Thời hạn giải quyết</w:t>
      </w:r>
      <w:r w:rsidRPr="004B1733">
        <w:rPr>
          <w:rFonts w:ascii="Times New Roman" w:hAnsi="Times New Roman" w:cs="Times New Roman"/>
          <w:color w:val="000000" w:themeColor="text1"/>
          <w:spacing w:val="-8"/>
          <w:szCs w:val="28"/>
          <w:lang w:val="pt-BR"/>
        </w:rPr>
        <w:t>: 22 ngày làm việc kể từ khi nhận đủ hồ sơ hợp lệ.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4.4. Đối tượng thực hiện thủ tục hành chính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: </w:t>
      </w:r>
      <w:r w:rsidRPr="004B1733">
        <w:rPr>
          <w:rFonts w:ascii="Times New Roman" w:hAnsi="Times New Roman" w:cs="Times New Roman"/>
          <w:b/>
          <w:bCs/>
          <w:color w:val="000000" w:themeColor="text1"/>
          <w:lang w:val="en-US"/>
        </w:rPr>
        <w:t>C</w:t>
      </w:r>
      <w:r w:rsidRPr="004B1733">
        <w:rPr>
          <w:rFonts w:ascii="Times New Roman" w:hAnsi="Times New Roman" w:cs="Times New Roman"/>
          <w:b/>
          <w:bCs/>
          <w:color w:val="000000" w:themeColor="text1"/>
        </w:rPr>
        <w:t>á nhân</w:t>
      </w: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 xml:space="preserve"> 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4.5. Cơ quan thực hiện thủ tục hành chính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>:</w:t>
      </w:r>
    </w:p>
    <w:p w:rsidR="00DE60A0" w:rsidRPr="004B1733" w:rsidRDefault="00DE60A0" w:rsidP="00DE60A0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Cơ quan trực tiếp thực hiện TTHC: Phòng Nội vụ</w:t>
      </w:r>
    </w:p>
    <w:p w:rsidR="00DE60A0" w:rsidRPr="004B1733" w:rsidRDefault="00DE60A0" w:rsidP="00DE60A0">
      <w:pPr>
        <w:pStyle w:val="Bodytext20"/>
        <w:shd w:val="clear" w:color="auto" w:fill="auto"/>
        <w:tabs>
          <w:tab w:val="left" w:pos="1011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Cơ quan phối hợp (nếu có): Văn phòng HĐND &amp;UBND cấp huyện và các phòng ban liên quan thuộc cấp huyện</w:t>
      </w:r>
    </w:p>
    <w:p w:rsidR="00DE60A0" w:rsidRPr="004B1733" w:rsidRDefault="00DE60A0" w:rsidP="00DE60A0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Cơ quan có thẩm quyền quyết định: Chủ tịch UBND cấp huyện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4.6. Kết quả thực hiện thủ tục hành chính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: </w:t>
      </w:r>
    </w:p>
    <w:p w:rsidR="00DE60A0" w:rsidRPr="004B1733" w:rsidRDefault="00DE60A0" w:rsidP="00DE60A0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Quyết định khen thưởng của Chủ tịch UBND huyện</w:t>
      </w:r>
    </w:p>
    <w:p w:rsidR="00DE60A0" w:rsidRPr="004B1733" w:rsidRDefault="00DE60A0" w:rsidP="00DE60A0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Hiện vật khen thưởng.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 xml:space="preserve">4.7. Phí, lệ phí: </w:t>
      </w:r>
      <w:r w:rsidRPr="004B1733">
        <w:rPr>
          <w:rFonts w:ascii="Times New Roman" w:hAnsi="Times New Roman" w:cs="Times New Roman"/>
          <w:b/>
          <w:bCs/>
          <w:color w:val="000000" w:themeColor="text1"/>
        </w:rPr>
        <w:t>Không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4.8. Tên mẫu đơn, mẫu tờ khai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: </w:t>
      </w:r>
      <w:r w:rsidRPr="004B1733">
        <w:rPr>
          <w:rFonts w:ascii="Times New Roman" w:hAnsi="Times New Roman" w:cs="Times New Roman"/>
          <w:color w:val="000000" w:themeColor="text1"/>
        </w:rPr>
        <w:t>Không có</w:t>
      </w:r>
    </w:p>
    <w:p w:rsidR="00DE60A0" w:rsidRPr="004B1733" w:rsidRDefault="00DE60A0" w:rsidP="00DE60A0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nl-NL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nl-NL"/>
        </w:rPr>
        <w:t xml:space="preserve">4.9. Yêu cầu điều kiện: </w:t>
      </w:r>
    </w:p>
    <w:p w:rsidR="00DE60A0" w:rsidRPr="004B1733" w:rsidRDefault="00DE60A0" w:rsidP="00DE60A0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  <w:r w:rsidRPr="004B1733">
        <w:rPr>
          <w:color w:val="000000" w:themeColor="text1"/>
        </w:rPr>
        <w:t>Chủ thể là cá nhân có thành tích được đề nghị khen thưởng theo quy định Điều 24 Luật thi đua khen thưởng và Điều 10 Nghị định 91/2017/NĐ - CP ngày 31/7/2017 của Chính phủ Quy định chi tiết thi hành của Luật thi đua, khen thưởng.</w:t>
      </w:r>
    </w:p>
    <w:p w:rsidR="00E12B7A" w:rsidRDefault="00E12B7A"/>
    <w:sectPr w:rsidR="00E1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0"/>
    <w:rsid w:val="00DE60A0"/>
    <w:rsid w:val="00E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60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DE60A0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DE60A0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color w:val="auto"/>
      <w:sz w:val="28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60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DE60A0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DE60A0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color w:val="auto"/>
      <w:sz w:val="2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home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HUE</cp:lastModifiedBy>
  <cp:revision>1</cp:revision>
  <dcterms:created xsi:type="dcterms:W3CDTF">2023-04-25T08:41:00Z</dcterms:created>
  <dcterms:modified xsi:type="dcterms:W3CDTF">2023-04-25T08:41:00Z</dcterms:modified>
</cp:coreProperties>
</file>